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2E9B5" w14:textId="32EA18F0" w:rsidR="009D2559" w:rsidRDefault="009D2559" w:rsidP="003E64F8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11C14" w:rsidRPr="00811C14" w14:paraId="30B49EC3" w14:textId="77777777" w:rsidTr="003A377D">
        <w:trPr>
          <w:trHeight w:val="1559"/>
        </w:trPr>
        <w:tc>
          <w:tcPr>
            <w:tcW w:w="1951" w:type="dxa"/>
          </w:tcPr>
          <w:p w14:paraId="1C6FB73C" w14:textId="77777777" w:rsidR="00811C14" w:rsidRPr="00811C14" w:rsidRDefault="00811C14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811C14">
              <w:rPr>
                <w:rFonts w:ascii="Times New Roman" w:eastAsia="Times New Roman" w:hAnsi="Times New Roman" w:cs="Times New Roman"/>
                <w:noProof/>
                <w:color w:val="4472C4"/>
                <w:sz w:val="20"/>
                <w:szCs w:val="20"/>
                <w:lang w:eastAsia="hr-HR"/>
              </w:rPr>
              <w:drawing>
                <wp:inline distT="0" distB="0" distL="0" distR="0" wp14:anchorId="1C3B7263" wp14:editId="2FA007BF">
                  <wp:extent cx="1043492" cy="923925"/>
                  <wp:effectExtent l="19050" t="0" r="4258" b="0"/>
                  <wp:docPr id="2" name="Slika 3" descr="cid:image001.png@01D78527.2E32F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cid:image001.png@01D78527.2E32F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492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14:paraId="04D53D96" w14:textId="77777777" w:rsidR="00811C14" w:rsidRPr="00811C14" w:rsidRDefault="00811C14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</w:p>
          <w:p w14:paraId="03A84D3B" w14:textId="77777777" w:rsidR="00811C14" w:rsidRPr="00811C14" w:rsidRDefault="00811C14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811C1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Zavod za hitnu medicinu Zadarske županije</w:t>
            </w:r>
          </w:p>
          <w:p w14:paraId="6AA78A93" w14:textId="2D8EB021" w:rsidR="00811C14" w:rsidRPr="00811C14" w:rsidRDefault="00811C14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811C1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Zadar, Ivana Mažuranića 28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.</w:t>
            </w:r>
          </w:p>
          <w:p w14:paraId="387C27CF" w14:textId="4C2C6047" w:rsidR="00811C14" w:rsidRPr="00811C14" w:rsidRDefault="00811C14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811C1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Ur.broj:</w:t>
            </w:r>
            <w:r w:rsidR="00024072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 xml:space="preserve"> 01-3117</w:t>
            </w:r>
            <w:bookmarkStart w:id="0" w:name="_GoBack"/>
            <w:bookmarkEnd w:id="0"/>
            <w:r w:rsidR="00365CFB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/2023</w:t>
            </w:r>
          </w:p>
          <w:p w14:paraId="0E0FF416" w14:textId="2E171CA8" w:rsidR="00811C14" w:rsidRPr="00811C14" w:rsidRDefault="00DD7534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04</w:t>
            </w:r>
            <w:r w:rsidR="00811C14" w:rsidRPr="00811C1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.</w:t>
            </w:r>
            <w:r w:rsidR="00D04430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10</w:t>
            </w:r>
            <w:r w:rsidR="00811C14" w:rsidRPr="00811C1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.</w:t>
            </w:r>
            <w:r w:rsidR="00365CFB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2023</w:t>
            </w:r>
            <w:r w:rsidR="00811C14" w:rsidRPr="00811C1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. godine</w:t>
            </w:r>
          </w:p>
          <w:p w14:paraId="1513B933" w14:textId="77777777" w:rsidR="00811C14" w:rsidRPr="00811C14" w:rsidRDefault="00811C14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</w:p>
        </w:tc>
      </w:tr>
    </w:tbl>
    <w:p w14:paraId="59CB8BA6" w14:textId="35E3BA0C" w:rsidR="00811C14" w:rsidRDefault="00811C14" w:rsidP="003E64F8">
      <w:pPr>
        <w:pStyle w:val="NoSpacing"/>
      </w:pPr>
    </w:p>
    <w:p w14:paraId="3C937058" w14:textId="77777777" w:rsidR="00811C14" w:rsidRPr="00810E2C" w:rsidRDefault="00811C14" w:rsidP="003E64F8">
      <w:pPr>
        <w:pStyle w:val="NoSpacing"/>
      </w:pPr>
    </w:p>
    <w:p w14:paraId="2ABCA018" w14:textId="77777777" w:rsidR="009D2559" w:rsidRPr="00810E2C" w:rsidRDefault="009D2559" w:rsidP="003E64F8">
      <w:pPr>
        <w:pStyle w:val="NoSpacing"/>
      </w:pPr>
    </w:p>
    <w:p w14:paraId="771A0AF6" w14:textId="77777777" w:rsidR="00DC6957" w:rsidRPr="00DB1EF8" w:rsidRDefault="003904E6" w:rsidP="00CE24DD">
      <w:pPr>
        <w:jc w:val="both"/>
        <w:rPr>
          <w:i/>
        </w:rPr>
      </w:pPr>
      <w:r w:rsidRPr="00DB1EF8">
        <w:rPr>
          <w:i/>
        </w:rPr>
        <w:t xml:space="preserve">                                                                    </w:t>
      </w:r>
      <w:r w:rsidR="00DC6957" w:rsidRPr="00DB1EF8">
        <w:rPr>
          <w:i/>
        </w:rPr>
        <w:t xml:space="preserve">                           </w:t>
      </w:r>
    </w:p>
    <w:p w14:paraId="538E15DC" w14:textId="77777777" w:rsidR="00DC6957" w:rsidRPr="00DB1EF8" w:rsidRDefault="00DC6957" w:rsidP="00CE24DD">
      <w:pPr>
        <w:jc w:val="both"/>
        <w:rPr>
          <w:i/>
        </w:rPr>
      </w:pPr>
    </w:p>
    <w:p w14:paraId="4BB1C42C" w14:textId="2DE75F43" w:rsidR="0076137D" w:rsidRPr="00DB1EF8" w:rsidRDefault="00DC6957" w:rsidP="00CE24DD">
      <w:pPr>
        <w:jc w:val="both"/>
        <w:rPr>
          <w:b/>
          <w:i/>
        </w:rPr>
      </w:pPr>
      <w:r w:rsidRPr="00DB1EF8">
        <w:rPr>
          <w:i/>
        </w:rPr>
        <w:t xml:space="preserve">                                                                                                   </w:t>
      </w:r>
      <w:r w:rsidR="00811C14" w:rsidRPr="00DB1EF8">
        <w:rPr>
          <w:i/>
        </w:rPr>
        <w:t xml:space="preserve">                      </w:t>
      </w:r>
      <w:r w:rsidRPr="00DB1EF8">
        <w:rPr>
          <w:i/>
        </w:rPr>
        <w:t xml:space="preserve"> </w:t>
      </w:r>
      <w:r w:rsidR="0076137D" w:rsidRPr="00DB1EF8">
        <w:rPr>
          <w:b/>
          <w:i/>
        </w:rPr>
        <w:t>UPRAVNO VIJEĆE</w:t>
      </w:r>
    </w:p>
    <w:p w14:paraId="3BB1082E" w14:textId="170D949F" w:rsidR="0076137D" w:rsidRPr="00DB1EF8" w:rsidRDefault="0076137D" w:rsidP="00DC6957">
      <w:pPr>
        <w:rPr>
          <w:b/>
          <w:i/>
        </w:rPr>
      </w:pPr>
      <w:r w:rsidRPr="00DB1EF8">
        <w:rPr>
          <w:b/>
          <w:i/>
        </w:rPr>
        <w:t xml:space="preserve">                                                        </w:t>
      </w:r>
      <w:r w:rsidR="00DC6957" w:rsidRPr="00DB1EF8">
        <w:rPr>
          <w:b/>
          <w:i/>
        </w:rPr>
        <w:t xml:space="preserve">        </w:t>
      </w:r>
      <w:r w:rsidR="00811C14" w:rsidRPr="00DB1EF8">
        <w:rPr>
          <w:b/>
          <w:i/>
        </w:rPr>
        <w:t xml:space="preserve">                   </w:t>
      </w:r>
      <w:r w:rsidR="00DC6957" w:rsidRPr="00DB1EF8">
        <w:rPr>
          <w:b/>
          <w:i/>
        </w:rPr>
        <w:t xml:space="preserve">  </w:t>
      </w:r>
      <w:r w:rsidRPr="00DB1EF8">
        <w:rPr>
          <w:b/>
          <w:i/>
        </w:rPr>
        <w:t xml:space="preserve">ZAVODA ZA HITNU </w:t>
      </w:r>
      <w:r w:rsidR="00A27926" w:rsidRPr="00DB1EF8">
        <w:rPr>
          <w:b/>
          <w:i/>
        </w:rPr>
        <w:t xml:space="preserve"> MEDICINU</w:t>
      </w:r>
      <w:r w:rsidR="00DC6957" w:rsidRPr="00DB1EF8">
        <w:rPr>
          <w:b/>
          <w:i/>
        </w:rPr>
        <w:t xml:space="preserve">  ZADARSKE ŽUPANIJE</w:t>
      </w:r>
      <w:r w:rsidR="00376F01" w:rsidRPr="00DB1EF8">
        <w:rPr>
          <w:b/>
          <w:i/>
        </w:rPr>
        <w:t xml:space="preserve">           </w:t>
      </w:r>
      <w:r w:rsidR="003904E6" w:rsidRPr="00DB1EF8">
        <w:rPr>
          <w:b/>
          <w:i/>
        </w:rPr>
        <w:t xml:space="preserve">                                                                                                                                              </w:t>
      </w:r>
      <w:r w:rsidR="00DC6957" w:rsidRPr="00DB1EF8">
        <w:rPr>
          <w:b/>
          <w:i/>
        </w:rPr>
        <w:t xml:space="preserve">                     </w:t>
      </w:r>
    </w:p>
    <w:p w14:paraId="11939A6A" w14:textId="77777777" w:rsidR="00376F01" w:rsidRPr="00DB1EF8" w:rsidRDefault="00376F01" w:rsidP="00CE24DD">
      <w:pPr>
        <w:jc w:val="both"/>
        <w:rPr>
          <w:i/>
        </w:rPr>
      </w:pPr>
    </w:p>
    <w:p w14:paraId="669795D8" w14:textId="77777777" w:rsidR="00376F01" w:rsidRPr="00810E2C" w:rsidRDefault="00376F01" w:rsidP="00CE24DD">
      <w:pPr>
        <w:jc w:val="both"/>
      </w:pPr>
    </w:p>
    <w:p w14:paraId="58D5ED9D" w14:textId="77777777" w:rsidR="00D8280D" w:rsidRDefault="00D8280D" w:rsidP="00CE24DD">
      <w:pPr>
        <w:jc w:val="both"/>
        <w:rPr>
          <w:i/>
        </w:rPr>
      </w:pPr>
    </w:p>
    <w:p w14:paraId="07A8DA99" w14:textId="77777777" w:rsidR="005B787B" w:rsidRDefault="005B787B" w:rsidP="00CE24DD">
      <w:pPr>
        <w:jc w:val="both"/>
        <w:rPr>
          <w:i/>
        </w:rPr>
      </w:pPr>
    </w:p>
    <w:p w14:paraId="73D6D8D3" w14:textId="182AF9D5" w:rsidR="005B787B" w:rsidRDefault="00633649" w:rsidP="00CE24DD">
      <w:pPr>
        <w:jc w:val="both"/>
        <w:rPr>
          <w:b/>
          <w:i/>
          <w:sz w:val="24"/>
          <w:szCs w:val="24"/>
        </w:rPr>
      </w:pPr>
      <w:r w:rsidRPr="00633649">
        <w:rPr>
          <w:b/>
          <w:i/>
          <w:sz w:val="24"/>
          <w:szCs w:val="24"/>
        </w:rPr>
        <w:t>Obrazlo</w:t>
      </w:r>
      <w:r w:rsidR="006B5716">
        <w:rPr>
          <w:b/>
          <w:i/>
          <w:sz w:val="24"/>
          <w:szCs w:val="24"/>
        </w:rPr>
        <w:t>ženje Financijskog plana za 2024</w:t>
      </w:r>
      <w:r w:rsidRPr="00633649">
        <w:rPr>
          <w:b/>
          <w:i/>
          <w:sz w:val="24"/>
          <w:szCs w:val="24"/>
        </w:rPr>
        <w:t>godinu</w:t>
      </w:r>
      <w:r w:rsidR="00C15F53">
        <w:rPr>
          <w:b/>
          <w:i/>
          <w:sz w:val="24"/>
          <w:szCs w:val="24"/>
        </w:rPr>
        <w:t xml:space="preserve"> </w:t>
      </w:r>
      <w:r w:rsidRPr="005A1AE3">
        <w:rPr>
          <w:b/>
          <w:i/>
          <w:sz w:val="24"/>
          <w:szCs w:val="24"/>
          <w:u w:val="single"/>
        </w:rPr>
        <w:t xml:space="preserve">– </w:t>
      </w:r>
      <w:r w:rsidR="00D03371" w:rsidRPr="005A1AE3">
        <w:rPr>
          <w:b/>
          <w:i/>
          <w:sz w:val="24"/>
          <w:szCs w:val="24"/>
          <w:u w:val="single"/>
        </w:rPr>
        <w:t>OPĆI DIO</w:t>
      </w:r>
    </w:p>
    <w:p w14:paraId="1CA64BE0" w14:textId="77777777" w:rsidR="00633649" w:rsidRDefault="00633649" w:rsidP="00CE24DD">
      <w:pPr>
        <w:jc w:val="both"/>
        <w:rPr>
          <w:b/>
          <w:i/>
          <w:sz w:val="24"/>
          <w:szCs w:val="24"/>
        </w:rPr>
      </w:pPr>
    </w:p>
    <w:p w14:paraId="32B984E7" w14:textId="0EF98CD7" w:rsidR="00633649" w:rsidRDefault="00602B89" w:rsidP="00CE24DD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Sažetak računa prihoda i rashoda</w:t>
      </w:r>
    </w:p>
    <w:p w14:paraId="60BF66E6" w14:textId="7515733F" w:rsidR="005A1AE3" w:rsidRPr="00447CDA" w:rsidRDefault="006B5716" w:rsidP="00633649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</w:pPr>
      <w:r>
        <w:rPr>
          <w:i/>
          <w:sz w:val="24"/>
          <w:szCs w:val="24"/>
        </w:rPr>
        <w:t>Financijskim planom za 2024 godinu  Prihodi  su</w:t>
      </w:r>
      <w:r w:rsidR="005A1AE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 w:rsidR="00AD3E6F">
        <w:rPr>
          <w:i/>
          <w:sz w:val="24"/>
          <w:szCs w:val="24"/>
        </w:rPr>
        <w:t>lanirani na razini 9.892.281,27</w:t>
      </w:r>
      <w:r>
        <w:rPr>
          <w:i/>
          <w:sz w:val="24"/>
          <w:szCs w:val="24"/>
        </w:rPr>
        <w:t xml:space="preserve"> </w:t>
      </w:r>
      <w:r w:rsidR="00821D02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>ur</w:t>
      </w:r>
      <w:r w:rsidR="005A1AE3">
        <w:rPr>
          <w:i/>
          <w:sz w:val="24"/>
          <w:szCs w:val="24"/>
        </w:rPr>
        <w:t>.</w:t>
      </w:r>
    </w:p>
    <w:p w14:paraId="4EFB4850" w14:textId="5503FB66" w:rsidR="00633649" w:rsidRPr="00FD3D0F" w:rsidRDefault="005A1AE3" w:rsidP="00633649">
      <w:p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Planirani prihodi se sastoje od p</w:t>
      </w:r>
      <w:r w:rsidR="00447CD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rihoda </w:t>
      </w:r>
      <w:r w:rsidR="008558CB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poslovanja </w:t>
      </w:r>
      <w:r w:rsidR="00AD3E6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9.872.281,27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 w:rsidR="00821D02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e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ur, </w:t>
      </w:r>
      <w:r w:rsidR="006B5716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, dok su prihodi od prodaje nefinancijske imovine planirani 20.000,00 </w:t>
      </w:r>
      <w:r w:rsidR="00821D02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e</w:t>
      </w:r>
      <w:r w:rsidR="00A51F6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ur</w:t>
      </w:r>
      <w:r w:rsidR="00633649" w:rsidRPr="00FD3D0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.</w:t>
      </w:r>
    </w:p>
    <w:p w14:paraId="32AEF719" w14:textId="36D23F5A" w:rsidR="00C5519E" w:rsidRDefault="00A51F63" w:rsidP="00DF3BDF">
      <w:p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Ukupni rashodi za 2024godinu</w:t>
      </w:r>
      <w:r w:rsidR="00602B89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 w:rsidR="00C5519E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su planirani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na razini</w:t>
      </w:r>
      <w:r w:rsidR="00AD3E6F">
        <w:rPr>
          <w:i/>
          <w:sz w:val="24"/>
          <w:szCs w:val="24"/>
        </w:rPr>
        <w:t xml:space="preserve">9.892.281,27 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 w:rsidR="00821D02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e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ur</w:t>
      </w:r>
      <w:r w:rsidR="00C5519E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.</w:t>
      </w:r>
    </w:p>
    <w:p w14:paraId="6C994FB6" w14:textId="1F88FFE7" w:rsidR="00DF3BDF" w:rsidRPr="00FD3D0F" w:rsidRDefault="00C5519E" w:rsidP="00DF3BDF">
      <w:p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P</w:t>
      </w:r>
      <w:r w:rsidR="00594F9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lanirani rashodi sastoje se od r</w:t>
      </w:r>
      <w:r w:rsidR="00A51F6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ashode poslovanja 8.803.884,00 </w:t>
      </w:r>
      <w:r w:rsidR="00821D02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e</w:t>
      </w:r>
      <w:r w:rsidR="00A51F6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u</w:t>
      </w:r>
      <w:r w:rsidR="00DF3BDF" w:rsidRPr="00FD3D0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r</w:t>
      </w:r>
      <w:r w:rsidR="00594F9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, </w:t>
      </w:r>
      <w:r w:rsidR="00A51F6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te se sastoje od </w:t>
      </w:r>
      <w:r w:rsidR="00594F9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rashoda</w:t>
      </w:r>
      <w:r w:rsidR="00DF3BDF" w:rsidRPr="00FD3D0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za</w:t>
      </w:r>
      <w:r w:rsidR="00A51F6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nabavku ne</w:t>
      </w:r>
      <w:r w:rsidR="00AD3E6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financijske imovine 1.051.397,27</w:t>
      </w:r>
      <w:r w:rsidR="00821D02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</w:t>
      </w:r>
      <w:r w:rsidR="00A51F6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ur i</w:t>
      </w:r>
      <w:r w:rsidR="00DF3BDF" w:rsidRPr="00FD3D0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 w:rsidR="00594F9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izdataka za finan</w:t>
      </w:r>
      <w:r w:rsidR="00447CD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c</w:t>
      </w:r>
      <w:r w:rsidR="00A51F6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ijsku imovinu u iznosu 37.000,00 </w:t>
      </w:r>
      <w:r w:rsidR="00821D02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e</w:t>
      </w:r>
      <w:r w:rsidR="00594F9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ur.</w:t>
      </w:r>
    </w:p>
    <w:p w14:paraId="6332D638" w14:textId="5C4D7515" w:rsidR="00DF3BDF" w:rsidRPr="00FD3D0F" w:rsidRDefault="00DF3BDF" w:rsidP="00DF3BDF">
      <w:p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</w:p>
    <w:p w14:paraId="243BA36D" w14:textId="2B898952" w:rsidR="00DF3BDF" w:rsidRPr="00DF3BDF" w:rsidRDefault="00DF3BDF" w:rsidP="00DF3BDF">
      <w:pPr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</w:pPr>
    </w:p>
    <w:p w14:paraId="6366CA56" w14:textId="416C5C20" w:rsidR="00633649" w:rsidRPr="0060605E" w:rsidRDefault="00C15F53" w:rsidP="00633649">
      <w:pPr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r-HR"/>
        </w:rPr>
      </w:pPr>
      <w:r w:rsidRPr="0060605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r-HR"/>
        </w:rPr>
        <w:t>Obr</w:t>
      </w:r>
      <w:r w:rsidR="00403E8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r-HR"/>
        </w:rPr>
        <w:t>azloženje općeg dijela financijskog plana</w:t>
      </w:r>
      <w:r w:rsidR="0062370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r-HR"/>
        </w:rPr>
        <w:t xml:space="preserve"> 2024</w:t>
      </w:r>
      <w:r w:rsidRPr="0060605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r-HR"/>
        </w:rPr>
        <w:t xml:space="preserve"> godina</w:t>
      </w:r>
    </w:p>
    <w:p w14:paraId="23F6CF29" w14:textId="77777777" w:rsidR="00C15F53" w:rsidRDefault="00C15F53" w:rsidP="00633649">
      <w:pPr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</w:pPr>
    </w:p>
    <w:p w14:paraId="4E762093" w14:textId="45C573A8" w:rsidR="00C15F53" w:rsidRDefault="0060605E" w:rsidP="00633649">
      <w:pPr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>PRIHODI</w:t>
      </w:r>
    </w:p>
    <w:p w14:paraId="0474E5B0" w14:textId="058041D8" w:rsidR="00C15F53" w:rsidRDefault="00F3676B" w:rsidP="00633649">
      <w:p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Ukupni prihodi za </w:t>
      </w:r>
      <w:r w:rsidR="00D931B9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2024g (</w:t>
      </w:r>
      <w:r w:rsidR="008111F4">
        <w:rPr>
          <w:i/>
          <w:sz w:val="24"/>
          <w:szCs w:val="24"/>
        </w:rPr>
        <w:t xml:space="preserve">9.892.281,27 </w:t>
      </w:r>
      <w:r w:rsidR="008111F4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 w:rsidR="00C15F5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eur</w:t>
      </w:r>
      <w:r w:rsidR="00D931B9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)</w:t>
      </w:r>
      <w:r w:rsidR="00C15F5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i sastoje se od slijedećih skupina :</w:t>
      </w:r>
    </w:p>
    <w:p w14:paraId="42F2CCE5" w14:textId="0D43CAB3" w:rsidR="0060605E" w:rsidRDefault="0060605E" w:rsidP="00C15F53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Ekonomska klasifikacija </w:t>
      </w:r>
      <w:r w:rsidR="00C15F5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63 </w:t>
      </w:r>
      <w:r w:rsidR="00C15F53" w:rsidRPr="0060605E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lang w:eastAsia="hr-HR"/>
        </w:rPr>
        <w:t xml:space="preserve">pomoći iz inozemstva i od </w:t>
      </w:r>
      <w:r w:rsidR="00403E84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lang w:eastAsia="hr-HR"/>
        </w:rPr>
        <w:t>subjekata unutar općeg financijskog plana</w:t>
      </w:r>
      <w:r w:rsidR="00C15F5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.</w:t>
      </w:r>
    </w:p>
    <w:p w14:paraId="5B1BB3C6" w14:textId="1C0FEC18" w:rsidR="00C15F53" w:rsidRPr="0060605E" w:rsidRDefault="00821D02" w:rsidP="0060605E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Ovi prihodi </w:t>
      </w:r>
      <w:r w:rsidR="0060605E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se odnose na program „specijalističko usavršavanje doktora hitne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medicinske pomoći“ , iz izvora EU sredstava na razini 40.000,00 eur.</w:t>
      </w:r>
    </w:p>
    <w:p w14:paraId="6CF93D88" w14:textId="77777777" w:rsidR="00D6559C" w:rsidRDefault="00D6559C" w:rsidP="00C15F53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Ekonomska klasifikacija </w:t>
      </w:r>
      <w:r w:rsidR="00C15F5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64 </w:t>
      </w:r>
      <w:r w:rsidR="00B04CC3" w:rsidRPr="00D6559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lang w:eastAsia="hr-HR"/>
        </w:rPr>
        <w:t>Prihodi od imovine</w:t>
      </w:r>
      <w:r w:rsidR="00B04CC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    </w:t>
      </w:r>
    </w:p>
    <w:p w14:paraId="258B40CA" w14:textId="3B7E0B52" w:rsidR="00C15F53" w:rsidRPr="00D6559C" w:rsidRDefault="00D6559C" w:rsidP="00D6559C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Ovdje su planirani prihodi od tečajnih razlika, kamata na oročena sredstva i depozite po viđenju u iznosu od </w:t>
      </w:r>
      <w:r w:rsidR="00821D02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300,00 e</w:t>
      </w:r>
      <w:r w:rsidR="00B04CC3" w:rsidRPr="00D6559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ur</w:t>
      </w:r>
    </w:p>
    <w:p w14:paraId="7C454F26" w14:textId="77777777" w:rsidR="0041029C" w:rsidRDefault="0041029C" w:rsidP="00B04CC3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Ekonomska klasifikacija </w:t>
      </w:r>
      <w:r w:rsidR="00B04CC3" w:rsidRPr="00B04CC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65 </w:t>
      </w:r>
      <w:r w:rsidR="00B04CC3" w:rsidRPr="0041029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lang w:eastAsia="hr-HR"/>
        </w:rPr>
        <w:t>Prihodi od pristojbi po posebnim propisima</w:t>
      </w:r>
      <w:r w:rsidR="00B04CC3" w:rsidRPr="00B04CC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</w:p>
    <w:p w14:paraId="139275FD" w14:textId="72BCBD93" w:rsidR="0041029C" w:rsidRDefault="0041029C" w:rsidP="0041029C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Ovi prihodi s</w:t>
      </w:r>
      <w:r w:rsidR="00821D02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e planiraju na razini 142.910,00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</w:t>
      </w:r>
      <w:r w:rsidR="00244C7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,</w:t>
      </w:r>
    </w:p>
    <w:p w14:paraId="6FC7C87C" w14:textId="105C30E5" w:rsidR="00B04CC3" w:rsidRPr="0041029C" w:rsidRDefault="0041029C" w:rsidP="0041029C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Čine ih prihodi,potpore JLS , participacija općina i gradova u financiranju programa mreže ljetne hitne pomoći</w:t>
      </w:r>
      <w:r w:rsidR="002A40F8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te se pla</w:t>
      </w:r>
      <w:r w:rsidR="008D2FF5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niraju sredstva u iznosu 92.910,00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 </w:t>
      </w:r>
      <w:r w:rsidR="00B04CC3" w:rsidRPr="0041029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,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te sredstva vlastitih prihoda kroz refundaciju </w:t>
      </w:r>
      <w:r w:rsidR="008D2FF5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šteta, osiguranja u iznosu od 50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.000,00 eur.</w:t>
      </w:r>
    </w:p>
    <w:p w14:paraId="3B6A1CE3" w14:textId="77777777" w:rsidR="008B4374" w:rsidRPr="008B4374" w:rsidRDefault="008B4374" w:rsidP="00B04CC3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Ekonomska klasifikacija </w:t>
      </w:r>
      <w:r w:rsidR="00B04CC3" w:rsidRPr="00B04CC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66 </w:t>
      </w:r>
      <w:r w:rsidR="00B04CC3" w:rsidRPr="008B4374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lang w:eastAsia="hr-HR"/>
        </w:rPr>
        <w:t>Prihodi od prodaje proizvoda i roba , te pruženih usluga</w:t>
      </w:r>
      <w:r w:rsidR="00B04CC3" w:rsidRPr="00B04CC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 </w:t>
      </w:r>
    </w:p>
    <w:p w14:paraId="39A59059" w14:textId="5C28BFDD" w:rsidR="00B04CC3" w:rsidRPr="008B4374" w:rsidRDefault="008B4374" w:rsidP="008B4374">
      <w:pPr>
        <w:ind w:left="36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Prihodi iz skupine vlastitih prihoda koji se ostvaruju kroz rad </w:t>
      </w:r>
      <w:r w:rsidR="002E7281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ambulanti, osiguranja sportskih il sličnih aktivnosti te  , postupaka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medicinskih timo</w:t>
      </w:r>
      <w:r w:rsidR="002E7281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va </w:t>
      </w:r>
      <w:r w:rsidR="002A40F8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p</w:t>
      </w:r>
      <w:r w:rsidR="002E7281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lanirani su na razini 385.412,00</w:t>
      </w:r>
      <w:r w:rsidR="00A5100D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eur.</w:t>
      </w:r>
    </w:p>
    <w:p w14:paraId="50E3AB4B" w14:textId="77777777" w:rsidR="008B4374" w:rsidRPr="008B4374" w:rsidRDefault="008B4374" w:rsidP="00B04CC3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 xml:space="preserve">Ekonomska klasifikacija </w:t>
      </w:r>
      <w:r w:rsidR="00B04CC3" w:rsidRPr="00B04CC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>67</w:t>
      </w:r>
      <w:r w:rsidR="00B04CC3" w:rsidRPr="00B04CC3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</w:t>
      </w:r>
      <w:r w:rsidR="00B04CC3" w:rsidRPr="008B4374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hr-HR"/>
        </w:rPr>
        <w:t>Prihodi iz nadležnog proračuna, ugovorne obveze</w:t>
      </w:r>
      <w:r w:rsidR="00B04CC3" w:rsidRPr="00B04CC3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</w:t>
      </w:r>
    </w:p>
    <w:p w14:paraId="79A48AAB" w14:textId="7EC729DA" w:rsidR="002F02FB" w:rsidRDefault="008B4374" w:rsidP="008B4374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lastRenderedPageBreak/>
        <w:t xml:space="preserve">Planirani prihod ove skupine iznosi </w:t>
      </w:r>
      <w:r w:rsidR="00B04CC3" w:rsidRPr="008B4374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</w:t>
      </w:r>
      <w:r w:rsidR="000033E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9.303.359,27</w:t>
      </w:r>
      <w:r w:rsidR="00B04CC3" w:rsidRPr="008B4374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</w:t>
      </w:r>
      <w:r w:rsidR="000033E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, </w:t>
      </w:r>
      <w:r w:rsidR="00970F7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čine ih sredstva </w:t>
      </w:r>
      <w:r w:rsidR="002A213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DECa koja su namijenjena nabavc</w:t>
      </w:r>
      <w:r w:rsidR="00F4302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i vozila hitne i sanitetske službe </w:t>
      </w:r>
      <w:r w:rsidR="000033E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za već ugovorena 4 vozila, te plan nabave koji će se realizirati u 2024g </w:t>
      </w:r>
      <w:r w:rsidR="00F4302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 w:rsidR="000033E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planirani </w:t>
      </w:r>
      <w:r w:rsidR="00F4302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iznos</w:t>
      </w:r>
      <w:r w:rsidR="000033E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 833.897,27 eur. S</w:t>
      </w:r>
      <w:r w:rsidR="00F4302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redstv</w:t>
      </w:r>
      <w:r w:rsidR="00967074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a Županije </w:t>
      </w:r>
      <w:r w:rsidR="000033E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na ek.kl.67 s</w:t>
      </w:r>
      <w:r w:rsidR="00967074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u </w:t>
      </w:r>
      <w:r w:rsidR="000033E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188.646,16</w:t>
      </w:r>
      <w:r w:rsidR="00F4302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 ,</w:t>
      </w:r>
      <w:r w:rsidR="000033E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gdje se nalaze i sredstva </w:t>
      </w:r>
      <w:r w:rsidR="00967074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MIZ i Županije u</w:t>
      </w:r>
      <w:r w:rsidR="000033E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programu ljetnih timova i iznosu 45.291,00 e</w:t>
      </w:r>
      <w:r w:rsidR="00967074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ur</w:t>
      </w:r>
      <w:r w:rsidR="000033E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.</w:t>
      </w:r>
      <w:r w:rsidR="00F4302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 w:rsidR="000033E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U</w:t>
      </w:r>
      <w:r w:rsidR="002F02FB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govorna sre</w:t>
      </w:r>
      <w:r w:rsidR="002A213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dstva HZZO </w:t>
      </w:r>
      <w:r w:rsidR="000033E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planirana su u iznosu od 8.</w:t>
      </w:r>
      <w:r w:rsidR="00E1329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235.524,84</w:t>
      </w:r>
      <w:r w:rsidR="002F02FB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eur.</w:t>
      </w:r>
    </w:p>
    <w:p w14:paraId="51935F39" w14:textId="77777777" w:rsidR="002F02FB" w:rsidRPr="002F02FB" w:rsidRDefault="002F02FB" w:rsidP="00B04CC3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 xml:space="preserve">Ekonomska klasifikacija </w:t>
      </w:r>
      <w:r w:rsidR="00B04CC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 xml:space="preserve">68 </w:t>
      </w:r>
      <w:r w:rsidR="00B04CC3" w:rsidRPr="002F02FB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hr-HR"/>
        </w:rPr>
        <w:t>Prihodi od kazni, upravnih mjera</w:t>
      </w:r>
      <w:r w:rsidR="00B04CC3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</w:t>
      </w:r>
    </w:p>
    <w:p w14:paraId="2133B72D" w14:textId="7C0C291A" w:rsidR="00B04CC3" w:rsidRPr="00187992" w:rsidRDefault="002F02FB" w:rsidP="00187992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Ovi prihodi su izvorom vlastiti prihod Ustanove i čine ,planiraju se svega </w:t>
      </w:r>
      <w:r w:rsidR="009F63BE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300,00</w:t>
      </w:r>
      <w:r w:rsidR="00B04CC3" w:rsidRPr="002F02FB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eur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.</w:t>
      </w:r>
    </w:p>
    <w:p w14:paraId="24697B16" w14:textId="77777777" w:rsidR="002F02FB" w:rsidRPr="002F02FB" w:rsidRDefault="002F02FB" w:rsidP="00B04CC3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 w:rsidRPr="002F02FB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>Ekonomska klasifikacija</w:t>
      </w:r>
      <w:r w:rsidR="00B04CC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 xml:space="preserve"> 72 </w:t>
      </w:r>
      <w:r w:rsidR="00B13548" w:rsidRPr="002F02FB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hr-HR"/>
        </w:rPr>
        <w:t>Prihodi od prodaje dugotrajne  imovine</w:t>
      </w:r>
      <w:r w:rsidR="00B13548" w:rsidRPr="00B13548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</w:t>
      </w:r>
    </w:p>
    <w:p w14:paraId="523FAE6E" w14:textId="7A951A92" w:rsidR="00B13548" w:rsidRPr="00187992" w:rsidRDefault="002F02FB" w:rsidP="00187992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Ova skupina</w:t>
      </w:r>
      <w:r w:rsidR="009F63BE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prihoda planirana je u iznosu od 20.000,00 eur, bazira se na planu prodaje vozila koja su u planu rashoda 2024 god.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.</w:t>
      </w:r>
      <w:r w:rsidR="00B13548" w:rsidRPr="002F02FB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 xml:space="preserve"> </w:t>
      </w:r>
    </w:p>
    <w:p w14:paraId="207B6DA4" w14:textId="77777777" w:rsidR="002F02FB" w:rsidRPr="002F02FB" w:rsidRDefault="002F02FB" w:rsidP="002F02FB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 w:rsidRPr="002F02F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>Ekonomska klasifikacija</w:t>
      </w:r>
      <w:r w:rsidR="00B13548" w:rsidRPr="00B13548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 w:rsidR="00B13548" w:rsidRPr="00B1354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84 </w:t>
      </w:r>
      <w:r w:rsidR="00B13548" w:rsidRPr="002F02FB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lang w:eastAsia="hr-HR"/>
        </w:rPr>
        <w:t xml:space="preserve">primici od financijskog zaduživanja </w:t>
      </w:r>
    </w:p>
    <w:p w14:paraId="5CE3D9A2" w14:textId="1AB0D640" w:rsidR="00B13548" w:rsidRPr="002F02FB" w:rsidRDefault="0051327E" w:rsidP="002F02FB">
      <w:pPr>
        <w:ind w:left="36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Radi se o prihodima koji s</w:t>
      </w:r>
      <w:r w:rsidR="002A213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e ostvaruju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putem </w:t>
      </w:r>
      <w:r w:rsidR="00E54A0D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kreditnog zaduženja, te kao takvi nisu planirani u 2024 godini.</w:t>
      </w:r>
    </w:p>
    <w:p w14:paraId="043DCF20" w14:textId="12E238CB" w:rsidR="00B13548" w:rsidRDefault="00B13548" w:rsidP="00B13548">
      <w:pPr>
        <w:pStyle w:val="ListParagraph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</w:p>
    <w:p w14:paraId="32841EB1" w14:textId="77777777" w:rsidR="00B13548" w:rsidRDefault="00B13548" w:rsidP="00DB1EF8">
      <w:p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</w:p>
    <w:p w14:paraId="11B0DF67" w14:textId="77777777" w:rsidR="00DB1EF8" w:rsidRDefault="00DB1EF8" w:rsidP="00DB1EF8">
      <w:p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</w:p>
    <w:p w14:paraId="5FB1238D" w14:textId="77777777" w:rsidR="00187992" w:rsidRDefault="00187992" w:rsidP="00DB1EF8">
      <w:p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</w:p>
    <w:p w14:paraId="497730FC" w14:textId="16091320" w:rsidR="00DB1EF8" w:rsidRDefault="00C9570B" w:rsidP="00DB1EF8">
      <w:pPr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>RASHODI</w:t>
      </w:r>
    </w:p>
    <w:p w14:paraId="1C87FC0A" w14:textId="25A2732A" w:rsidR="00BF1B36" w:rsidRPr="00DB1EF8" w:rsidRDefault="00507C1B" w:rsidP="00DB1EF8">
      <w:p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Ukupni rashodi za 2024</w:t>
      </w:r>
      <w:r w:rsidR="007012FE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g </w:t>
      </w:r>
      <w:r w:rsidR="00DB1EF8" w:rsidRPr="00DB1EF8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planirani u iznosu</w:t>
      </w:r>
      <w:r w:rsidR="00825BB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 w:rsidR="00825BBA">
        <w:rPr>
          <w:i/>
          <w:sz w:val="24"/>
          <w:szCs w:val="24"/>
        </w:rPr>
        <w:t>9.892.281,27 eur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.</w:t>
      </w:r>
      <w:r w:rsidR="002A213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, </w:t>
      </w:r>
      <w:r w:rsidR="00DB1EF8" w:rsidRPr="00DB1EF8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sastoje se od </w:t>
      </w:r>
      <w:r w:rsidR="00F3676B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ekonomskih skupina, klasifikacija </w:t>
      </w:r>
      <w:r w:rsidR="00DB1EF8" w:rsidRPr="00DB1EF8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kako slijedi :</w:t>
      </w:r>
    </w:p>
    <w:p w14:paraId="5F39F0ED" w14:textId="77777777" w:rsidR="00F3676B" w:rsidRDefault="00F3676B" w:rsidP="00F7649E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Ekonomska klasifikacija </w:t>
      </w:r>
      <w:r w:rsidR="00DB1EF8" w:rsidRPr="00F7649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31 </w:t>
      </w:r>
      <w:r w:rsidR="00DB1EF8" w:rsidRPr="00F3676B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lang w:eastAsia="hr-HR"/>
        </w:rPr>
        <w:t>Rashodi za zaposlene</w:t>
      </w:r>
      <w:r w:rsidR="00DB1EF8" w:rsidRPr="00F7649E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</w:p>
    <w:p w14:paraId="43DC0184" w14:textId="0A071322" w:rsidR="00F7649E" w:rsidRPr="00F3676B" w:rsidRDefault="00FE4137" w:rsidP="00F3676B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Ukupno planirana sredstva na ovoj skupini </w:t>
      </w:r>
      <w:r w:rsidR="00BC2CB1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se planiraju na razini 6.394.717,00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 i </w:t>
      </w:r>
      <w:r w:rsidR="00F7649E" w:rsidRPr="00F3676B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odnose se na bruto plaće , doprino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se, božićnice, regres, nagrade</w:t>
      </w:r>
      <w:r w:rsidR="00BC2CB1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i ostala prava radnika.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.</w:t>
      </w:r>
      <w:r w:rsidR="00271291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 w:rsidR="00BC2CB1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u odnosu na 2023 god veća su za 3% te prate porast troškova, prava radnika koja će se ostvariti u planskoj godini.</w:t>
      </w:r>
      <w:r w:rsidR="00C1472B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.</w:t>
      </w:r>
    </w:p>
    <w:p w14:paraId="15192650" w14:textId="77777777" w:rsidR="00FE4137" w:rsidRDefault="00FE4137" w:rsidP="00153FB5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Ekonomska klasifikacija </w:t>
      </w:r>
      <w:r w:rsidR="00F7649E" w:rsidRPr="00153FB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32 </w:t>
      </w:r>
      <w:r w:rsidR="00F7649E" w:rsidRPr="00FE4137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lang w:eastAsia="hr-HR"/>
        </w:rPr>
        <w:t>Materijalni rashodi</w:t>
      </w:r>
      <w:r w:rsidR="00F7649E" w:rsidRPr="00153FB5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</w:p>
    <w:p w14:paraId="6A8F7AF4" w14:textId="3C429AC2" w:rsidR="00105C37" w:rsidRDefault="00FE4137" w:rsidP="00FE4137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Ukupno planirana sredstva za materij</w:t>
      </w:r>
      <w:r w:rsidR="00E34AF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alne rashode iznose 2.387.547,00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 , unutar njih </w:t>
      </w:r>
      <w:r w:rsidR="00105C37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se planom obuhvaćaju rashodi, materijalni trošak</w:t>
      </w:r>
      <w:r w:rsidR="00E34AF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i usluge</w:t>
      </w:r>
      <w:r w:rsidR="00105C37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,a istaknuli bi one značajnije koji čini glavni udio planiranog troška.</w:t>
      </w:r>
    </w:p>
    <w:p w14:paraId="6808D04E" w14:textId="45C5A5EB" w:rsidR="00153FB5" w:rsidRPr="00FE4137" w:rsidRDefault="00105C37" w:rsidP="00FE4137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Rashodi za prijevoz na posa</w:t>
      </w:r>
      <w:r w:rsidR="00EB6B32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o i s posla ukupno su 201.350,00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eur, materijali i sirovine koji se ostvaruju kroz sanitetski materijal,ljekove, m</w:t>
      </w:r>
      <w:r w:rsidR="00EB6B32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edicinski plin iznose 159.430,00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eura, energenti gdje su gorivo i električna energija u</w:t>
      </w:r>
      <w:r w:rsidR="00EB6B32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kupno se planiraju na 776.535,00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eur, usluge telefona, pošte, te prijevoza pacijenata bro</w:t>
      </w:r>
      <w:r w:rsidR="00EB6B32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dom su planirani na 143</w:t>
      </w:r>
      <w:r w:rsidR="00636656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.290,00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eur, </w:t>
      </w:r>
      <w:r w:rsidR="00636656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usluge tekućeg investicijskog održavanja iznose 246.359,00 eur koje se uglavnom odnose na održavanje i popravak vozila, 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intelektualne usluge koje podrazumjevaju pripravnost,ugovor o djelu –vanjski medicinski suradnici se </w:t>
      </w:r>
      <w:r w:rsidR="00636656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planiraju u iznosu od 214.440,00 </w:t>
      </w:r>
      <w:r w:rsidR="00625A1B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eur, te zdravstvene i veterin</w:t>
      </w:r>
      <w:r w:rsidR="00636656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arske usluge u iznosu 108.920,00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eur.</w:t>
      </w:r>
    </w:p>
    <w:p w14:paraId="6E91BC90" w14:textId="77777777" w:rsidR="00105C37" w:rsidRPr="00105C37" w:rsidRDefault="00105C37" w:rsidP="00153FB5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Ekonomska klasifikacija </w:t>
      </w:r>
      <w:r w:rsidR="00153FB5" w:rsidRPr="00153FB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>34</w:t>
      </w:r>
      <w:r w:rsidR="00153FB5" w:rsidRPr="00153FB5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 w:rsidR="00153FB5" w:rsidRPr="00105C37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lang w:eastAsia="hr-HR"/>
        </w:rPr>
        <w:t>Financijski rashodi</w:t>
      </w:r>
      <w:r w:rsidR="00153FB5" w:rsidRPr="00153FB5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</w:p>
    <w:p w14:paraId="41E59585" w14:textId="2478D423" w:rsidR="008A3EAC" w:rsidRDefault="00F83C47" w:rsidP="00105C37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Sredstva </w:t>
      </w:r>
      <w:r w:rsidR="00E474AD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ovog konta planirana su 18.920,00</w:t>
      </w:r>
      <w:r w:rsidR="008A3EA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eur. Rashodi koji čine ovu skupinu su kamate za financijski leasing, bankarske naknade i usluge, te zatezne kamate.</w:t>
      </w:r>
    </w:p>
    <w:p w14:paraId="719CC0B4" w14:textId="77777777" w:rsidR="008A3EAC" w:rsidRPr="008A3EAC" w:rsidRDefault="008A3EAC" w:rsidP="00BF1B36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Ekonomska klasifikacija </w:t>
      </w:r>
      <w:r w:rsidR="00153FB5" w:rsidRPr="00BF1B3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38 </w:t>
      </w:r>
      <w:r w:rsidR="00153FB5" w:rsidRPr="008A3EA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lang w:eastAsia="hr-HR"/>
        </w:rPr>
        <w:t>Ostali rashodi, ugovorne kazne</w:t>
      </w:r>
    </w:p>
    <w:p w14:paraId="3E17DFF4" w14:textId="4CB34FD4" w:rsidR="00153FB5" w:rsidRDefault="008A3EAC" w:rsidP="008A3EAC">
      <w:pPr>
        <w:ind w:left="36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Planirani rashodi </w:t>
      </w:r>
      <w:r w:rsidR="00153FB5" w:rsidRPr="008A3EA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iznosu </w:t>
      </w:r>
      <w:r w:rsidR="00470948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2.700,00 </w:t>
      </w:r>
      <w:r w:rsidR="00BF1B36" w:rsidRPr="008A3EAC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eur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i odnose se na štete zaposlenicima, te štete i ugovorne kazne prema HZZO i sl.</w:t>
      </w:r>
    </w:p>
    <w:p w14:paraId="072EC5FE" w14:textId="77777777" w:rsidR="008A3EAC" w:rsidRPr="008A3EAC" w:rsidRDefault="008A3EAC" w:rsidP="008A3EAC">
      <w:pPr>
        <w:ind w:left="36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</w:p>
    <w:p w14:paraId="6BA6151A" w14:textId="3123E1B2" w:rsidR="00153FB5" w:rsidRDefault="00153FB5" w:rsidP="00BF1B36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</w:p>
    <w:p w14:paraId="0C893EA4" w14:textId="060E9CA2" w:rsidR="00BF1B36" w:rsidRDefault="00BF1B36" w:rsidP="00BF1B36">
      <w:p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Rashodi za nabavu nefinancijske imovine u grupi </w:t>
      </w:r>
      <w:r w:rsidRPr="00BF1B3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>4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 </w:t>
      </w:r>
      <w:r w:rsidRPr="00BF1B36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ukupno su </w:t>
      </w:r>
      <w:r w:rsidR="00470948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planirani u iznosu od 1.051.397,27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eur , </w:t>
      </w:r>
      <w:r w:rsidR="00910326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a sastoje se od slijedećih skupina :</w:t>
      </w:r>
    </w:p>
    <w:p w14:paraId="72711CFC" w14:textId="77777777" w:rsidR="008A3EAC" w:rsidRDefault="008A3EAC" w:rsidP="00BF1B36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Ekonomska klasifikacija </w:t>
      </w:r>
      <w:r w:rsidR="00BF1B36" w:rsidRPr="00BF1B3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r-HR"/>
        </w:rPr>
        <w:t xml:space="preserve">42 </w:t>
      </w:r>
      <w:r w:rsidR="00BF1B36" w:rsidRPr="008A3EA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lang w:eastAsia="hr-HR"/>
        </w:rPr>
        <w:t>Rashodi za nabavu proizvedene dugotrajne imovine</w:t>
      </w:r>
      <w:r w:rsidR="00BF1B36" w:rsidRPr="00BF1B36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</w:t>
      </w:r>
    </w:p>
    <w:p w14:paraId="3739AF11" w14:textId="47598129" w:rsidR="00BF1B36" w:rsidRDefault="00D75BBE" w:rsidP="008A3EAC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Ukupna sredstva na ovoj grupi iznose </w:t>
      </w:r>
      <w:r w:rsidR="00470948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1.023</w:t>
      </w:r>
      <w:r w:rsidR="00AA2C11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.</w:t>
      </w:r>
      <w:r w:rsidR="00470948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397,27</w:t>
      </w:r>
      <w:r w:rsidR="00BF1B36" w:rsidRPr="008A3EAC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 eur  a odnose s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e rashode koji će se o</w:t>
      </w:r>
      <w:r w:rsidR="00910326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s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tvariti kroz ulaganja u medicinsku opremu, </w:t>
      </w:r>
      <w:r w:rsidR="00470948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 xml:space="preserve">nabavku medicinskih automobila, 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računalnu i telekomunikacijsku opremu , te nabavku radnog namještaja.</w:t>
      </w:r>
    </w:p>
    <w:p w14:paraId="0E9853CF" w14:textId="12241C40" w:rsidR="00470948" w:rsidRPr="008A3EAC" w:rsidRDefault="00470948" w:rsidP="008A3EAC">
      <w:pPr>
        <w:ind w:left="360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hr-HR"/>
        </w:rPr>
        <w:t>Glavnina sredstava , ukupno 833.897,27 eur, su rezervirana za već ugovorena 4 auta, te nabavku novih u 2024g.</w:t>
      </w:r>
    </w:p>
    <w:p w14:paraId="3323E076" w14:textId="77777777" w:rsidR="00573F09" w:rsidRDefault="00D75BBE" w:rsidP="00A06BCC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lastRenderedPageBreak/>
        <w:t xml:space="preserve">Ekonomska klasifikacija </w:t>
      </w:r>
      <w:r w:rsidR="00BF1B36" w:rsidRPr="00A06BCC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>45</w:t>
      </w:r>
      <w:r w:rsidR="00BF1B36" w:rsidRPr="00A06BCC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</w:t>
      </w:r>
      <w:r w:rsidR="00BF1B36" w:rsidRPr="00573F09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hr-HR"/>
        </w:rPr>
        <w:t xml:space="preserve">Rashodi za dodatna ulaganja u </w:t>
      </w:r>
      <w:r w:rsidR="00910326" w:rsidRPr="00573F09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hr-HR"/>
        </w:rPr>
        <w:t>nefinancijsku imovinu</w:t>
      </w:r>
      <w:r w:rsidR="00910326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</w:t>
      </w:r>
    </w:p>
    <w:p w14:paraId="78706F69" w14:textId="0F853824" w:rsidR="00BF1B36" w:rsidRPr="00F06BD8" w:rsidRDefault="00573F09" w:rsidP="00F06BD8">
      <w:pPr>
        <w:rPr>
          <w:caps/>
          <w:u w:val="single"/>
          <w:lang w:eastAsia="hr-HR"/>
        </w:rPr>
      </w:pPr>
      <w:r>
        <w:rPr>
          <w:lang w:eastAsia="hr-HR"/>
        </w:rPr>
        <w:t>Planiraju se u</w:t>
      </w:r>
      <w:r w:rsidR="00F06BD8">
        <w:rPr>
          <w:lang w:eastAsia="hr-HR"/>
        </w:rPr>
        <w:t xml:space="preserve"> iznosu 28.000,00 </w:t>
      </w:r>
      <w:r w:rsidR="00A06BCC" w:rsidRPr="00573F09">
        <w:rPr>
          <w:lang w:eastAsia="hr-HR"/>
        </w:rPr>
        <w:t xml:space="preserve"> eur, dodatna ulaganja u prijevozna sredstva</w:t>
      </w:r>
      <w:r>
        <w:rPr>
          <w:lang w:eastAsia="hr-HR"/>
        </w:rPr>
        <w:t>,</w:t>
      </w:r>
      <w:r w:rsidR="00F06BD8">
        <w:rPr>
          <w:lang w:eastAsia="hr-HR"/>
        </w:rPr>
        <w:t xml:space="preserve"> plan utroška materijala u poboljšanje i ispravnost motornih medicinskih vozila.</w:t>
      </w:r>
    </w:p>
    <w:p w14:paraId="7060E4D4" w14:textId="5A179ED6" w:rsidR="00BF1B36" w:rsidRDefault="00BF1B36" w:rsidP="00A06BCC">
      <w:p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</w:p>
    <w:p w14:paraId="4BD9B5A4" w14:textId="0C840E18" w:rsidR="00A06BCC" w:rsidRDefault="00A06BCC" w:rsidP="00A06BCC">
      <w:p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Rashodi/ izdaci za financijsku imovine u grupi </w:t>
      </w:r>
      <w:r w:rsidRPr="00A06BCC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>5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ukupno iznose </w:t>
      </w:r>
      <w:r w:rsidR="00F06BD8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37.000,00</w:t>
      </w:r>
      <w:r w:rsidR="0045193C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eur </w:t>
      </w:r>
      <w:r w:rsidR="00F06BD8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:</w:t>
      </w:r>
    </w:p>
    <w:p w14:paraId="25C5F30F" w14:textId="77777777" w:rsidR="0045193C" w:rsidRDefault="0045193C" w:rsidP="00A06BCC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 xml:space="preserve">Ekonomska klasifikacija </w:t>
      </w:r>
      <w:r w:rsidR="00A06BCC" w:rsidRPr="00A06BCC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 xml:space="preserve">54 </w:t>
      </w:r>
      <w:r w:rsidR="00A06BCC" w:rsidRPr="0045193C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hr-HR"/>
        </w:rPr>
        <w:t>Izdaci za otplatu glavnice iz primljenih kredita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</w:t>
      </w:r>
    </w:p>
    <w:p w14:paraId="25F66DD0" w14:textId="6E976E7B" w:rsidR="00A06BCC" w:rsidRPr="0045193C" w:rsidRDefault="0045193C" w:rsidP="0045193C">
      <w:pPr>
        <w:ind w:left="36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Planirana sredstva se koriste za otpla</w:t>
      </w:r>
      <w:r w:rsidR="00DE455E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t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u glavnice, zaduženog leasing</w:t>
      </w:r>
      <w:r w:rsidR="00F06BD8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a, koji je realiziran u postupku nabave 3 medicinska vozila. Ukupno zaduženje ,anuiteti, u 2024g iznosit će u skladu sa planom 37.000,00 eur.</w:t>
      </w:r>
    </w:p>
    <w:p w14:paraId="5DD71213" w14:textId="77777777" w:rsidR="001B0354" w:rsidRDefault="001B0354" w:rsidP="001B0354">
      <w:pPr>
        <w:jc w:val="both"/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</w:pPr>
    </w:p>
    <w:p w14:paraId="1EDD387A" w14:textId="77777777" w:rsidR="001B0354" w:rsidRDefault="001B0354" w:rsidP="001B0354">
      <w:pPr>
        <w:jc w:val="both"/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</w:pPr>
    </w:p>
    <w:p w14:paraId="27CC5512" w14:textId="49441537" w:rsidR="001B0354" w:rsidRDefault="00DE455E" w:rsidP="001B0354">
      <w:pPr>
        <w:jc w:val="both"/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>RAČUN FINANCIRANJA</w:t>
      </w:r>
    </w:p>
    <w:p w14:paraId="5281CA46" w14:textId="005D5D2E" w:rsidR="001B0354" w:rsidRDefault="001B0354" w:rsidP="001B0354">
      <w:p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 w:rsidRPr="001B0354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Prikazani su računi, grupe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 xml:space="preserve"> 8 i 5 </w:t>
      </w:r>
      <w:r w:rsidR="00F65DA6" w:rsidRPr="00F65D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gdje su evidentirani</w:t>
      </w:r>
      <w:r w:rsidR="00F65DA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 xml:space="preserve"> </w:t>
      </w:r>
      <w:r w:rsidR="00DE455E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primici od financijskog zaduživanja </w:t>
      </w:r>
      <w:r w:rsidR="00F65DA6" w:rsidRPr="00F65D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, odnosno izdaci za otplatu </w:t>
      </w:r>
      <w:r w:rsidR="00F65D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12 </w:t>
      </w:r>
      <w:r w:rsidR="00F65DA6" w:rsidRPr="00F65D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anuiteta </w:t>
      </w:r>
      <w:r w:rsidR="00F65D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na primljeni kredit , leasing, za kupnju 3 medicinska auta .</w:t>
      </w:r>
    </w:p>
    <w:p w14:paraId="18CC671C" w14:textId="30257557" w:rsidR="00DE455E" w:rsidRDefault="00DE455E" w:rsidP="001B0354">
      <w:p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Ukupno planirane obveze/prava </w:t>
      </w:r>
      <w:r w:rsidR="0032120F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realizacije kreditnih sredstava klasifikacijska skupina </w:t>
      </w:r>
      <w:r w:rsidR="00910326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(</w:t>
      </w:r>
      <w:r w:rsidR="0091032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>8</w:t>
      </w:r>
      <w:r w:rsidR="0032120F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) neće se ostvarivat i ne planiraju se nikakva financijska sredstva. Dok na klas.skupini</w:t>
      </w:r>
      <w:r w:rsidR="00910326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(</w:t>
      </w:r>
      <w:r w:rsidR="00910326" w:rsidRPr="0091032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>5</w:t>
      </w:r>
      <w:r w:rsidR="0032120F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) planirano je zaduženje otplate anuiteta iz prethodnih godina, na iznos od 37.000,00 eur koja će se pokrivati vlastitim sredstvima (31).</w:t>
      </w:r>
    </w:p>
    <w:p w14:paraId="139BC88D" w14:textId="77777777" w:rsidR="00F65DA6" w:rsidRDefault="00F65DA6" w:rsidP="001B0354">
      <w:p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</w:p>
    <w:p w14:paraId="53F3B03A" w14:textId="2BC31AEC" w:rsidR="00F65DA6" w:rsidRDefault="00FA5F15" w:rsidP="001B0354">
      <w:pPr>
        <w:jc w:val="both"/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r-HR"/>
        </w:rPr>
        <w:t>REZULTAT POSLOVANJA</w:t>
      </w:r>
    </w:p>
    <w:p w14:paraId="3E189C2F" w14:textId="7877331D" w:rsidR="00FA5F15" w:rsidRDefault="0032120F" w:rsidP="001B0354">
      <w:p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Poslovnim planom i projiciranim prihodima financijskog proračuna za 2024</w:t>
      </w:r>
      <w:r w:rsidR="00FA5F15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godini planira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na je ravnoteža prihoda i rashoda, bez ostvarivanja poslovnog viška ili gubitka poslovanja.</w:t>
      </w:r>
      <w:r w:rsidR="00FA5F15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.</w:t>
      </w:r>
    </w:p>
    <w:p w14:paraId="5BB64029" w14:textId="77777777" w:rsidR="0043665A" w:rsidRDefault="0043665A" w:rsidP="001B0354">
      <w:p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</w:p>
    <w:p w14:paraId="79C83C68" w14:textId="77777777" w:rsidR="0043665A" w:rsidRDefault="0043665A" w:rsidP="001B0354">
      <w:p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</w:p>
    <w:p w14:paraId="11C267FB" w14:textId="77777777" w:rsidR="0043665A" w:rsidRDefault="0043665A" w:rsidP="001B0354">
      <w:p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</w:p>
    <w:p w14:paraId="6A1BC7F2" w14:textId="4E39A91E" w:rsidR="0043665A" w:rsidRDefault="0043665A" w:rsidP="00445332">
      <w:pPr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Ravnateljica Ustanove </w:t>
      </w:r>
    </w:p>
    <w:p w14:paraId="4A237B2F" w14:textId="77777777" w:rsidR="0043665A" w:rsidRDefault="0043665A" w:rsidP="00445332">
      <w:pPr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</w:p>
    <w:p w14:paraId="1519C515" w14:textId="0D61B32A" w:rsidR="0043665A" w:rsidRDefault="0043665A" w:rsidP="00445332">
      <w:pPr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>Ivana Šimić ,dipl.oec</w:t>
      </w:r>
    </w:p>
    <w:p w14:paraId="5EABEA10" w14:textId="77777777" w:rsidR="00595545" w:rsidRDefault="00595545" w:rsidP="001B0354">
      <w:p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</w:p>
    <w:p w14:paraId="043F5FDA" w14:textId="77777777" w:rsidR="00595545" w:rsidRDefault="00595545" w:rsidP="001B0354">
      <w:p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</w:p>
    <w:p w14:paraId="366915EF" w14:textId="2AF622BF" w:rsidR="00595545" w:rsidRPr="00FA5F15" w:rsidRDefault="00595545" w:rsidP="001B0354">
      <w:pPr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</w:pPr>
    </w:p>
    <w:sectPr w:rsidR="00595545" w:rsidRPr="00FA5F15" w:rsidSect="00AB520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BECEC" w14:textId="77777777" w:rsidR="00DF62A1" w:rsidRDefault="00DF62A1" w:rsidP="0040296F">
      <w:pPr>
        <w:spacing w:line="240" w:lineRule="auto"/>
      </w:pPr>
      <w:r>
        <w:separator/>
      </w:r>
    </w:p>
  </w:endnote>
  <w:endnote w:type="continuationSeparator" w:id="0">
    <w:p w14:paraId="721F3295" w14:textId="77777777" w:rsidR="00DF62A1" w:rsidRDefault="00DF62A1" w:rsidP="00402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36793"/>
      <w:docPartObj>
        <w:docPartGallery w:val="Page Numbers (Bottom of Page)"/>
        <w:docPartUnique/>
      </w:docPartObj>
    </w:sdtPr>
    <w:sdtEndPr/>
    <w:sdtContent>
      <w:p w14:paraId="7A385B0B" w14:textId="17BD693D" w:rsidR="00525D73" w:rsidRDefault="0073153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240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09B259" w14:textId="77777777" w:rsidR="00525D73" w:rsidRDefault="00525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97313" w14:textId="77777777" w:rsidR="00DF62A1" w:rsidRDefault="00DF62A1" w:rsidP="0040296F">
      <w:pPr>
        <w:spacing w:line="240" w:lineRule="auto"/>
      </w:pPr>
      <w:r>
        <w:separator/>
      </w:r>
    </w:p>
  </w:footnote>
  <w:footnote w:type="continuationSeparator" w:id="0">
    <w:p w14:paraId="3BAFA101" w14:textId="77777777" w:rsidR="00DF62A1" w:rsidRDefault="00DF62A1" w:rsidP="00402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645"/>
    <w:multiLevelType w:val="hybridMultilevel"/>
    <w:tmpl w:val="32ECE5B0"/>
    <w:lvl w:ilvl="0" w:tplc="EABCD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86811"/>
    <w:multiLevelType w:val="hybridMultilevel"/>
    <w:tmpl w:val="9FD2C39C"/>
    <w:lvl w:ilvl="0" w:tplc="E4483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828BC"/>
    <w:multiLevelType w:val="hybridMultilevel"/>
    <w:tmpl w:val="2048DC38"/>
    <w:lvl w:ilvl="0" w:tplc="B9B88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F72B3"/>
    <w:multiLevelType w:val="hybridMultilevel"/>
    <w:tmpl w:val="4168AEDC"/>
    <w:lvl w:ilvl="0" w:tplc="8D66E83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B912CD"/>
    <w:multiLevelType w:val="hybridMultilevel"/>
    <w:tmpl w:val="E3BA0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C16F3"/>
    <w:multiLevelType w:val="hybridMultilevel"/>
    <w:tmpl w:val="2D1261E4"/>
    <w:lvl w:ilvl="0" w:tplc="4468A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65D1F"/>
    <w:multiLevelType w:val="hybridMultilevel"/>
    <w:tmpl w:val="9FE23682"/>
    <w:lvl w:ilvl="0" w:tplc="5E961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7D"/>
    <w:rsid w:val="0000265D"/>
    <w:rsid w:val="000033E0"/>
    <w:rsid w:val="000040C4"/>
    <w:rsid w:val="00006538"/>
    <w:rsid w:val="000073A8"/>
    <w:rsid w:val="0001495E"/>
    <w:rsid w:val="00024072"/>
    <w:rsid w:val="0002473A"/>
    <w:rsid w:val="00026096"/>
    <w:rsid w:val="0002755F"/>
    <w:rsid w:val="0003066E"/>
    <w:rsid w:val="00030757"/>
    <w:rsid w:val="0003208F"/>
    <w:rsid w:val="0003391F"/>
    <w:rsid w:val="0004174E"/>
    <w:rsid w:val="0004345D"/>
    <w:rsid w:val="00051B14"/>
    <w:rsid w:val="00053BAF"/>
    <w:rsid w:val="00055D31"/>
    <w:rsid w:val="000646F7"/>
    <w:rsid w:val="0008316A"/>
    <w:rsid w:val="000A0654"/>
    <w:rsid w:val="000A5608"/>
    <w:rsid w:val="000B3843"/>
    <w:rsid w:val="000B4E89"/>
    <w:rsid w:val="000B6A83"/>
    <w:rsid w:val="000D20DF"/>
    <w:rsid w:val="000E5307"/>
    <w:rsid w:val="000E5DF8"/>
    <w:rsid w:val="000E6333"/>
    <w:rsid w:val="000E6CDC"/>
    <w:rsid w:val="000E6E93"/>
    <w:rsid w:val="000F01C8"/>
    <w:rsid w:val="000F441E"/>
    <w:rsid w:val="000F6FD3"/>
    <w:rsid w:val="00103966"/>
    <w:rsid w:val="00103A2C"/>
    <w:rsid w:val="00105C37"/>
    <w:rsid w:val="001076C8"/>
    <w:rsid w:val="00114C9E"/>
    <w:rsid w:val="001153F7"/>
    <w:rsid w:val="00120983"/>
    <w:rsid w:val="001263EA"/>
    <w:rsid w:val="001307BD"/>
    <w:rsid w:val="00130F97"/>
    <w:rsid w:val="0013556F"/>
    <w:rsid w:val="00140C16"/>
    <w:rsid w:val="00153FB5"/>
    <w:rsid w:val="00154D2A"/>
    <w:rsid w:val="00160447"/>
    <w:rsid w:val="001651A8"/>
    <w:rsid w:val="00165C4E"/>
    <w:rsid w:val="001669C5"/>
    <w:rsid w:val="001731B9"/>
    <w:rsid w:val="00174B55"/>
    <w:rsid w:val="00177522"/>
    <w:rsid w:val="001809A2"/>
    <w:rsid w:val="0018187B"/>
    <w:rsid w:val="00184627"/>
    <w:rsid w:val="00187992"/>
    <w:rsid w:val="0019453C"/>
    <w:rsid w:val="00197CE6"/>
    <w:rsid w:val="001A4C3C"/>
    <w:rsid w:val="001B0354"/>
    <w:rsid w:val="001B3432"/>
    <w:rsid w:val="001B349D"/>
    <w:rsid w:val="001B7A38"/>
    <w:rsid w:val="001C3D5C"/>
    <w:rsid w:val="001C3EED"/>
    <w:rsid w:val="001C42AA"/>
    <w:rsid w:val="001C4381"/>
    <w:rsid w:val="001D0624"/>
    <w:rsid w:val="001D2402"/>
    <w:rsid w:val="001D3B49"/>
    <w:rsid w:val="001F08B9"/>
    <w:rsid w:val="001F6AE2"/>
    <w:rsid w:val="00201664"/>
    <w:rsid w:val="00217F24"/>
    <w:rsid w:val="00222489"/>
    <w:rsid w:val="00240F13"/>
    <w:rsid w:val="00242565"/>
    <w:rsid w:val="00244C7F"/>
    <w:rsid w:val="00246EAB"/>
    <w:rsid w:val="00261514"/>
    <w:rsid w:val="002621DB"/>
    <w:rsid w:val="002622C8"/>
    <w:rsid w:val="002622F4"/>
    <w:rsid w:val="00262557"/>
    <w:rsid w:val="00264CAE"/>
    <w:rsid w:val="00265519"/>
    <w:rsid w:val="002704B4"/>
    <w:rsid w:val="00271291"/>
    <w:rsid w:val="0027216E"/>
    <w:rsid w:val="00287E65"/>
    <w:rsid w:val="00291064"/>
    <w:rsid w:val="002967E4"/>
    <w:rsid w:val="002A213A"/>
    <w:rsid w:val="002A40F8"/>
    <w:rsid w:val="002A6BFC"/>
    <w:rsid w:val="002C0229"/>
    <w:rsid w:val="002C41B1"/>
    <w:rsid w:val="002D4AEB"/>
    <w:rsid w:val="002D7323"/>
    <w:rsid w:val="002D7539"/>
    <w:rsid w:val="002E4547"/>
    <w:rsid w:val="002E6612"/>
    <w:rsid w:val="002E66E5"/>
    <w:rsid w:val="002E7281"/>
    <w:rsid w:val="002E7BCE"/>
    <w:rsid w:val="002F02FB"/>
    <w:rsid w:val="002F0CC4"/>
    <w:rsid w:val="002F147D"/>
    <w:rsid w:val="002F17EB"/>
    <w:rsid w:val="002F7B84"/>
    <w:rsid w:val="00303214"/>
    <w:rsid w:val="00312F70"/>
    <w:rsid w:val="0031406E"/>
    <w:rsid w:val="0032120F"/>
    <w:rsid w:val="0032318D"/>
    <w:rsid w:val="0032548A"/>
    <w:rsid w:val="00331919"/>
    <w:rsid w:val="00332CF9"/>
    <w:rsid w:val="003368D6"/>
    <w:rsid w:val="0034341D"/>
    <w:rsid w:val="00345174"/>
    <w:rsid w:val="00353B63"/>
    <w:rsid w:val="00354CA5"/>
    <w:rsid w:val="003557E7"/>
    <w:rsid w:val="00356769"/>
    <w:rsid w:val="00365A8F"/>
    <w:rsid w:val="00365CFB"/>
    <w:rsid w:val="00375E24"/>
    <w:rsid w:val="00376F01"/>
    <w:rsid w:val="003779A1"/>
    <w:rsid w:val="00380B17"/>
    <w:rsid w:val="00381CBC"/>
    <w:rsid w:val="00386AE4"/>
    <w:rsid w:val="003904E6"/>
    <w:rsid w:val="003908B5"/>
    <w:rsid w:val="0039567E"/>
    <w:rsid w:val="00396B4F"/>
    <w:rsid w:val="003A0234"/>
    <w:rsid w:val="003A1080"/>
    <w:rsid w:val="003A25FD"/>
    <w:rsid w:val="003B49A8"/>
    <w:rsid w:val="003C04EF"/>
    <w:rsid w:val="003C54E3"/>
    <w:rsid w:val="003C586B"/>
    <w:rsid w:val="003D65C3"/>
    <w:rsid w:val="003E64F8"/>
    <w:rsid w:val="003E73B1"/>
    <w:rsid w:val="003F4B2E"/>
    <w:rsid w:val="0040296F"/>
    <w:rsid w:val="00403E84"/>
    <w:rsid w:val="004045AF"/>
    <w:rsid w:val="004062A7"/>
    <w:rsid w:val="00407F51"/>
    <w:rsid w:val="0041029C"/>
    <w:rsid w:val="0042418D"/>
    <w:rsid w:val="00425045"/>
    <w:rsid w:val="00430B6A"/>
    <w:rsid w:val="0043665A"/>
    <w:rsid w:val="004423CE"/>
    <w:rsid w:val="00445332"/>
    <w:rsid w:val="0044752D"/>
    <w:rsid w:val="00447CDA"/>
    <w:rsid w:val="0045193C"/>
    <w:rsid w:val="00452BB3"/>
    <w:rsid w:val="00465736"/>
    <w:rsid w:val="00467390"/>
    <w:rsid w:val="004673E8"/>
    <w:rsid w:val="00467607"/>
    <w:rsid w:val="00470948"/>
    <w:rsid w:val="00470F8E"/>
    <w:rsid w:val="004710C2"/>
    <w:rsid w:val="00471D49"/>
    <w:rsid w:val="00474532"/>
    <w:rsid w:val="004914BB"/>
    <w:rsid w:val="004A0A14"/>
    <w:rsid w:val="004A7317"/>
    <w:rsid w:val="004A7551"/>
    <w:rsid w:val="004B7758"/>
    <w:rsid w:val="004B7CCD"/>
    <w:rsid w:val="004C02CA"/>
    <w:rsid w:val="004C0FD4"/>
    <w:rsid w:val="004C1398"/>
    <w:rsid w:val="004C1CDA"/>
    <w:rsid w:val="004C2625"/>
    <w:rsid w:val="004C2A69"/>
    <w:rsid w:val="004D36C2"/>
    <w:rsid w:val="004F3167"/>
    <w:rsid w:val="004F49E1"/>
    <w:rsid w:val="004F4E45"/>
    <w:rsid w:val="004F6F46"/>
    <w:rsid w:val="004F6FC9"/>
    <w:rsid w:val="00506EC0"/>
    <w:rsid w:val="00507C1B"/>
    <w:rsid w:val="0051327E"/>
    <w:rsid w:val="0051495F"/>
    <w:rsid w:val="00514BF8"/>
    <w:rsid w:val="00514D9C"/>
    <w:rsid w:val="00517464"/>
    <w:rsid w:val="00523C91"/>
    <w:rsid w:val="00524E00"/>
    <w:rsid w:val="00525D73"/>
    <w:rsid w:val="0052707C"/>
    <w:rsid w:val="005278D5"/>
    <w:rsid w:val="0053602F"/>
    <w:rsid w:val="005363A5"/>
    <w:rsid w:val="00537989"/>
    <w:rsid w:val="005416E5"/>
    <w:rsid w:val="0054571D"/>
    <w:rsid w:val="00550E2B"/>
    <w:rsid w:val="00554113"/>
    <w:rsid w:val="005553B6"/>
    <w:rsid w:val="00560743"/>
    <w:rsid w:val="00573F09"/>
    <w:rsid w:val="00576CF0"/>
    <w:rsid w:val="00590704"/>
    <w:rsid w:val="0059279A"/>
    <w:rsid w:val="00594F9C"/>
    <w:rsid w:val="00595545"/>
    <w:rsid w:val="00595B3C"/>
    <w:rsid w:val="00595D25"/>
    <w:rsid w:val="00596C89"/>
    <w:rsid w:val="005971D7"/>
    <w:rsid w:val="005A1AE3"/>
    <w:rsid w:val="005A2676"/>
    <w:rsid w:val="005A3C26"/>
    <w:rsid w:val="005B766B"/>
    <w:rsid w:val="005B787B"/>
    <w:rsid w:val="005C30CD"/>
    <w:rsid w:val="005C3FCA"/>
    <w:rsid w:val="005D0CC7"/>
    <w:rsid w:val="005D29FF"/>
    <w:rsid w:val="005D3D9A"/>
    <w:rsid w:val="005E0843"/>
    <w:rsid w:val="005E6B40"/>
    <w:rsid w:val="005F2B70"/>
    <w:rsid w:val="00602B89"/>
    <w:rsid w:val="0060605E"/>
    <w:rsid w:val="00611ACF"/>
    <w:rsid w:val="00611EBB"/>
    <w:rsid w:val="006149AC"/>
    <w:rsid w:val="00623700"/>
    <w:rsid w:val="00623EFC"/>
    <w:rsid w:val="00625A1B"/>
    <w:rsid w:val="00633649"/>
    <w:rsid w:val="00634E36"/>
    <w:rsid w:val="00636656"/>
    <w:rsid w:val="00641872"/>
    <w:rsid w:val="00645968"/>
    <w:rsid w:val="006552B7"/>
    <w:rsid w:val="006715A4"/>
    <w:rsid w:val="00672B54"/>
    <w:rsid w:val="00675CCB"/>
    <w:rsid w:val="00675FAC"/>
    <w:rsid w:val="006816A7"/>
    <w:rsid w:val="00681D61"/>
    <w:rsid w:val="00684749"/>
    <w:rsid w:val="006A216D"/>
    <w:rsid w:val="006A64B2"/>
    <w:rsid w:val="006B4937"/>
    <w:rsid w:val="006B5211"/>
    <w:rsid w:val="006B5716"/>
    <w:rsid w:val="006D4BBE"/>
    <w:rsid w:val="006D52ED"/>
    <w:rsid w:val="006D6B18"/>
    <w:rsid w:val="006E5DE5"/>
    <w:rsid w:val="006F1566"/>
    <w:rsid w:val="006F2C6E"/>
    <w:rsid w:val="007012FE"/>
    <w:rsid w:val="007066E4"/>
    <w:rsid w:val="007152F4"/>
    <w:rsid w:val="007201A7"/>
    <w:rsid w:val="007236C4"/>
    <w:rsid w:val="0072453D"/>
    <w:rsid w:val="00725AB0"/>
    <w:rsid w:val="00727FA9"/>
    <w:rsid w:val="00731531"/>
    <w:rsid w:val="0074188A"/>
    <w:rsid w:val="0075283D"/>
    <w:rsid w:val="00756C16"/>
    <w:rsid w:val="007572C5"/>
    <w:rsid w:val="0076137D"/>
    <w:rsid w:val="007614A8"/>
    <w:rsid w:val="007703FC"/>
    <w:rsid w:val="00771665"/>
    <w:rsid w:val="00783153"/>
    <w:rsid w:val="00787129"/>
    <w:rsid w:val="00794D2F"/>
    <w:rsid w:val="007959F1"/>
    <w:rsid w:val="007A0929"/>
    <w:rsid w:val="007A4B91"/>
    <w:rsid w:val="007A6E1A"/>
    <w:rsid w:val="007B50BE"/>
    <w:rsid w:val="007C1FC8"/>
    <w:rsid w:val="007D5E61"/>
    <w:rsid w:val="007F33DB"/>
    <w:rsid w:val="00801E5E"/>
    <w:rsid w:val="00807A07"/>
    <w:rsid w:val="00810E2C"/>
    <w:rsid w:val="008111F4"/>
    <w:rsid w:val="00811C14"/>
    <w:rsid w:val="00811DA8"/>
    <w:rsid w:val="008142A9"/>
    <w:rsid w:val="00815219"/>
    <w:rsid w:val="00815D02"/>
    <w:rsid w:val="008164A3"/>
    <w:rsid w:val="00821D02"/>
    <w:rsid w:val="00825BBA"/>
    <w:rsid w:val="00826CFC"/>
    <w:rsid w:val="00835E1E"/>
    <w:rsid w:val="00837EEE"/>
    <w:rsid w:val="008506D3"/>
    <w:rsid w:val="00853608"/>
    <w:rsid w:val="008558CB"/>
    <w:rsid w:val="0086405D"/>
    <w:rsid w:val="008656C4"/>
    <w:rsid w:val="008731C8"/>
    <w:rsid w:val="00880FAA"/>
    <w:rsid w:val="00883E7E"/>
    <w:rsid w:val="00886166"/>
    <w:rsid w:val="00892236"/>
    <w:rsid w:val="0089423B"/>
    <w:rsid w:val="00894BF7"/>
    <w:rsid w:val="00895EB8"/>
    <w:rsid w:val="008A161A"/>
    <w:rsid w:val="008A3EAC"/>
    <w:rsid w:val="008B00A4"/>
    <w:rsid w:val="008B18A6"/>
    <w:rsid w:val="008B4374"/>
    <w:rsid w:val="008B43B4"/>
    <w:rsid w:val="008C477A"/>
    <w:rsid w:val="008D0050"/>
    <w:rsid w:val="008D1710"/>
    <w:rsid w:val="008D2113"/>
    <w:rsid w:val="008D2FF5"/>
    <w:rsid w:val="008D4944"/>
    <w:rsid w:val="008D5814"/>
    <w:rsid w:val="008D5958"/>
    <w:rsid w:val="008D5C3B"/>
    <w:rsid w:val="008E49ED"/>
    <w:rsid w:val="008E66C0"/>
    <w:rsid w:val="008E6DB7"/>
    <w:rsid w:val="008F637B"/>
    <w:rsid w:val="008F672C"/>
    <w:rsid w:val="009019EA"/>
    <w:rsid w:val="00906D56"/>
    <w:rsid w:val="00907D0A"/>
    <w:rsid w:val="00910326"/>
    <w:rsid w:val="00910B8A"/>
    <w:rsid w:val="00916713"/>
    <w:rsid w:val="00923740"/>
    <w:rsid w:val="009239FF"/>
    <w:rsid w:val="009326EA"/>
    <w:rsid w:val="009417FC"/>
    <w:rsid w:val="00956843"/>
    <w:rsid w:val="009631D1"/>
    <w:rsid w:val="00964D15"/>
    <w:rsid w:val="00967074"/>
    <w:rsid w:val="00970F7A"/>
    <w:rsid w:val="0098366C"/>
    <w:rsid w:val="009871C8"/>
    <w:rsid w:val="0099246F"/>
    <w:rsid w:val="00993446"/>
    <w:rsid w:val="009A0653"/>
    <w:rsid w:val="009A4B34"/>
    <w:rsid w:val="009B20AA"/>
    <w:rsid w:val="009B29DB"/>
    <w:rsid w:val="009B3259"/>
    <w:rsid w:val="009B4DCD"/>
    <w:rsid w:val="009B5EB7"/>
    <w:rsid w:val="009D2559"/>
    <w:rsid w:val="009D4F52"/>
    <w:rsid w:val="009D638B"/>
    <w:rsid w:val="009F04FB"/>
    <w:rsid w:val="009F63BE"/>
    <w:rsid w:val="00A00262"/>
    <w:rsid w:val="00A06BCC"/>
    <w:rsid w:val="00A103FD"/>
    <w:rsid w:val="00A10C13"/>
    <w:rsid w:val="00A122B0"/>
    <w:rsid w:val="00A12A93"/>
    <w:rsid w:val="00A15BD1"/>
    <w:rsid w:val="00A1780F"/>
    <w:rsid w:val="00A25795"/>
    <w:rsid w:val="00A27926"/>
    <w:rsid w:val="00A31A16"/>
    <w:rsid w:val="00A32511"/>
    <w:rsid w:val="00A329BE"/>
    <w:rsid w:val="00A368FA"/>
    <w:rsid w:val="00A43BB0"/>
    <w:rsid w:val="00A4511E"/>
    <w:rsid w:val="00A45FAF"/>
    <w:rsid w:val="00A5100D"/>
    <w:rsid w:val="00A51446"/>
    <w:rsid w:val="00A515CA"/>
    <w:rsid w:val="00A51F63"/>
    <w:rsid w:val="00A54942"/>
    <w:rsid w:val="00A61067"/>
    <w:rsid w:val="00A64AFD"/>
    <w:rsid w:val="00A6789E"/>
    <w:rsid w:val="00A70F30"/>
    <w:rsid w:val="00A74CC9"/>
    <w:rsid w:val="00A74E84"/>
    <w:rsid w:val="00A74F28"/>
    <w:rsid w:val="00A75C12"/>
    <w:rsid w:val="00A770F8"/>
    <w:rsid w:val="00A8707F"/>
    <w:rsid w:val="00A91FD6"/>
    <w:rsid w:val="00A94AF7"/>
    <w:rsid w:val="00AA0DA1"/>
    <w:rsid w:val="00AA2C11"/>
    <w:rsid w:val="00AB5201"/>
    <w:rsid w:val="00AB74C5"/>
    <w:rsid w:val="00AD0D8C"/>
    <w:rsid w:val="00AD268F"/>
    <w:rsid w:val="00AD3E6F"/>
    <w:rsid w:val="00AD62F7"/>
    <w:rsid w:val="00AE44C4"/>
    <w:rsid w:val="00AE6ED8"/>
    <w:rsid w:val="00AF48ED"/>
    <w:rsid w:val="00AF6AC1"/>
    <w:rsid w:val="00AF6AD1"/>
    <w:rsid w:val="00B036F6"/>
    <w:rsid w:val="00B04CC3"/>
    <w:rsid w:val="00B056B1"/>
    <w:rsid w:val="00B05E8F"/>
    <w:rsid w:val="00B11349"/>
    <w:rsid w:val="00B13548"/>
    <w:rsid w:val="00B26CFD"/>
    <w:rsid w:val="00B4180B"/>
    <w:rsid w:val="00B42370"/>
    <w:rsid w:val="00B515D9"/>
    <w:rsid w:val="00B51BAA"/>
    <w:rsid w:val="00B57E47"/>
    <w:rsid w:val="00B64461"/>
    <w:rsid w:val="00B758FC"/>
    <w:rsid w:val="00B7616D"/>
    <w:rsid w:val="00B77282"/>
    <w:rsid w:val="00B81412"/>
    <w:rsid w:val="00B827B2"/>
    <w:rsid w:val="00B92B3D"/>
    <w:rsid w:val="00B92E01"/>
    <w:rsid w:val="00B93A12"/>
    <w:rsid w:val="00B962A7"/>
    <w:rsid w:val="00B96CD1"/>
    <w:rsid w:val="00BA2C61"/>
    <w:rsid w:val="00BA4D06"/>
    <w:rsid w:val="00BB3838"/>
    <w:rsid w:val="00BB4128"/>
    <w:rsid w:val="00BB5BC3"/>
    <w:rsid w:val="00BB6245"/>
    <w:rsid w:val="00BC2CB1"/>
    <w:rsid w:val="00BD104E"/>
    <w:rsid w:val="00BE3796"/>
    <w:rsid w:val="00BE4F19"/>
    <w:rsid w:val="00BF1B36"/>
    <w:rsid w:val="00BF50DF"/>
    <w:rsid w:val="00BF78EF"/>
    <w:rsid w:val="00C10B51"/>
    <w:rsid w:val="00C1472B"/>
    <w:rsid w:val="00C15F53"/>
    <w:rsid w:val="00C16C3E"/>
    <w:rsid w:val="00C20706"/>
    <w:rsid w:val="00C22359"/>
    <w:rsid w:val="00C258AD"/>
    <w:rsid w:val="00C319FE"/>
    <w:rsid w:val="00C40BA2"/>
    <w:rsid w:val="00C46A4C"/>
    <w:rsid w:val="00C46ABE"/>
    <w:rsid w:val="00C47304"/>
    <w:rsid w:val="00C5519E"/>
    <w:rsid w:val="00C57086"/>
    <w:rsid w:val="00C6117C"/>
    <w:rsid w:val="00C616CD"/>
    <w:rsid w:val="00C66CA0"/>
    <w:rsid w:val="00C66EF8"/>
    <w:rsid w:val="00C744C2"/>
    <w:rsid w:val="00C82A96"/>
    <w:rsid w:val="00C83012"/>
    <w:rsid w:val="00C8651A"/>
    <w:rsid w:val="00C868CC"/>
    <w:rsid w:val="00C87BCB"/>
    <w:rsid w:val="00C87D23"/>
    <w:rsid w:val="00C94E97"/>
    <w:rsid w:val="00C9570B"/>
    <w:rsid w:val="00CC3168"/>
    <w:rsid w:val="00CC43DA"/>
    <w:rsid w:val="00CD1983"/>
    <w:rsid w:val="00CD32FD"/>
    <w:rsid w:val="00CD4187"/>
    <w:rsid w:val="00CE24DD"/>
    <w:rsid w:val="00CE2B00"/>
    <w:rsid w:val="00CE33D1"/>
    <w:rsid w:val="00CE4C3D"/>
    <w:rsid w:val="00CF4E19"/>
    <w:rsid w:val="00CF6947"/>
    <w:rsid w:val="00D03371"/>
    <w:rsid w:val="00D04430"/>
    <w:rsid w:val="00D05665"/>
    <w:rsid w:val="00D05EE3"/>
    <w:rsid w:val="00D37B15"/>
    <w:rsid w:val="00D4035A"/>
    <w:rsid w:val="00D47F19"/>
    <w:rsid w:val="00D5016A"/>
    <w:rsid w:val="00D57814"/>
    <w:rsid w:val="00D61564"/>
    <w:rsid w:val="00D63914"/>
    <w:rsid w:val="00D6559C"/>
    <w:rsid w:val="00D65DB9"/>
    <w:rsid w:val="00D72108"/>
    <w:rsid w:val="00D75BBE"/>
    <w:rsid w:val="00D8280D"/>
    <w:rsid w:val="00D931B9"/>
    <w:rsid w:val="00DA3332"/>
    <w:rsid w:val="00DA3EC9"/>
    <w:rsid w:val="00DB1EF8"/>
    <w:rsid w:val="00DB39C4"/>
    <w:rsid w:val="00DB3FA9"/>
    <w:rsid w:val="00DB5396"/>
    <w:rsid w:val="00DB5EBD"/>
    <w:rsid w:val="00DB67AB"/>
    <w:rsid w:val="00DC22FC"/>
    <w:rsid w:val="00DC6957"/>
    <w:rsid w:val="00DD111A"/>
    <w:rsid w:val="00DD32EE"/>
    <w:rsid w:val="00DD57FD"/>
    <w:rsid w:val="00DD7534"/>
    <w:rsid w:val="00DE12D0"/>
    <w:rsid w:val="00DE1F3E"/>
    <w:rsid w:val="00DE27FC"/>
    <w:rsid w:val="00DE40E5"/>
    <w:rsid w:val="00DE455E"/>
    <w:rsid w:val="00DF0B23"/>
    <w:rsid w:val="00DF3BDF"/>
    <w:rsid w:val="00DF62A1"/>
    <w:rsid w:val="00DF7743"/>
    <w:rsid w:val="00DF7E90"/>
    <w:rsid w:val="00E005AC"/>
    <w:rsid w:val="00E018B8"/>
    <w:rsid w:val="00E03644"/>
    <w:rsid w:val="00E0466C"/>
    <w:rsid w:val="00E0514B"/>
    <w:rsid w:val="00E05C6A"/>
    <w:rsid w:val="00E101D4"/>
    <w:rsid w:val="00E11CD1"/>
    <w:rsid w:val="00E13290"/>
    <w:rsid w:val="00E16DF6"/>
    <w:rsid w:val="00E34AF3"/>
    <w:rsid w:val="00E37081"/>
    <w:rsid w:val="00E44624"/>
    <w:rsid w:val="00E466DA"/>
    <w:rsid w:val="00E474AD"/>
    <w:rsid w:val="00E4788F"/>
    <w:rsid w:val="00E51192"/>
    <w:rsid w:val="00E51D64"/>
    <w:rsid w:val="00E5323A"/>
    <w:rsid w:val="00E54A0D"/>
    <w:rsid w:val="00E65867"/>
    <w:rsid w:val="00E65D26"/>
    <w:rsid w:val="00E75F9B"/>
    <w:rsid w:val="00E77BE7"/>
    <w:rsid w:val="00E84D71"/>
    <w:rsid w:val="00E903BE"/>
    <w:rsid w:val="00E91F54"/>
    <w:rsid w:val="00E92A08"/>
    <w:rsid w:val="00E94AE8"/>
    <w:rsid w:val="00E96220"/>
    <w:rsid w:val="00EA05C3"/>
    <w:rsid w:val="00EA1CA3"/>
    <w:rsid w:val="00EA3A30"/>
    <w:rsid w:val="00EB6B32"/>
    <w:rsid w:val="00EC556C"/>
    <w:rsid w:val="00EC79BD"/>
    <w:rsid w:val="00ED0CF4"/>
    <w:rsid w:val="00EE05DD"/>
    <w:rsid w:val="00EE221B"/>
    <w:rsid w:val="00EE2587"/>
    <w:rsid w:val="00EE55E6"/>
    <w:rsid w:val="00EE5D5F"/>
    <w:rsid w:val="00EE6447"/>
    <w:rsid w:val="00EF0349"/>
    <w:rsid w:val="00EF07B8"/>
    <w:rsid w:val="00EF2183"/>
    <w:rsid w:val="00F058E0"/>
    <w:rsid w:val="00F06BD8"/>
    <w:rsid w:val="00F16B48"/>
    <w:rsid w:val="00F17A61"/>
    <w:rsid w:val="00F243E9"/>
    <w:rsid w:val="00F277CE"/>
    <w:rsid w:val="00F3423F"/>
    <w:rsid w:val="00F3676B"/>
    <w:rsid w:val="00F41193"/>
    <w:rsid w:val="00F4302C"/>
    <w:rsid w:val="00F50676"/>
    <w:rsid w:val="00F51B0B"/>
    <w:rsid w:val="00F528DA"/>
    <w:rsid w:val="00F62CA3"/>
    <w:rsid w:val="00F65DA6"/>
    <w:rsid w:val="00F72F8F"/>
    <w:rsid w:val="00F7649E"/>
    <w:rsid w:val="00F81D92"/>
    <w:rsid w:val="00F836A5"/>
    <w:rsid w:val="00F83C47"/>
    <w:rsid w:val="00F84990"/>
    <w:rsid w:val="00F93412"/>
    <w:rsid w:val="00FA341F"/>
    <w:rsid w:val="00FA5F15"/>
    <w:rsid w:val="00FB0394"/>
    <w:rsid w:val="00FB3F79"/>
    <w:rsid w:val="00FB4BB1"/>
    <w:rsid w:val="00FC257D"/>
    <w:rsid w:val="00FC36F4"/>
    <w:rsid w:val="00FD0596"/>
    <w:rsid w:val="00FD12B1"/>
    <w:rsid w:val="00FD13F8"/>
    <w:rsid w:val="00FD3D0F"/>
    <w:rsid w:val="00F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1A98"/>
  <w15:docId w15:val="{84E27FB8-FBD9-4189-9C27-AB542880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3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296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96F"/>
  </w:style>
  <w:style w:type="paragraph" w:styleId="Footer">
    <w:name w:val="footer"/>
    <w:basedOn w:val="Normal"/>
    <w:link w:val="FooterChar"/>
    <w:uiPriority w:val="99"/>
    <w:unhideWhenUsed/>
    <w:rsid w:val="0040296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96F"/>
  </w:style>
  <w:style w:type="paragraph" w:styleId="NoSpacing">
    <w:name w:val="No Spacing"/>
    <w:uiPriority w:val="1"/>
    <w:qFormat/>
    <w:rsid w:val="003E64F8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1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unhideWhenUsed/>
    <w:rsid w:val="00811C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78527.2E32F83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B00A1-335E-4211-BD83-02EED818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PC-6</dc:creator>
  <cp:lastModifiedBy>Korisnik</cp:lastModifiedBy>
  <cp:revision>2</cp:revision>
  <cp:lastPrinted>2023-03-23T13:32:00Z</cp:lastPrinted>
  <dcterms:created xsi:type="dcterms:W3CDTF">2023-10-27T10:05:00Z</dcterms:created>
  <dcterms:modified xsi:type="dcterms:W3CDTF">2023-10-27T10:05:00Z</dcterms:modified>
</cp:coreProperties>
</file>